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tabs>
          <w:tab w:val="right" w:pos="9639"/>
        </w:tabs>
        <w:spacing w:after="0"/>
        <w:rPr>
          <w:rFonts w:hint="default" w:eastAsiaTheme="minorEastAsia"/>
          <w:b/>
          <w:sz w:val="24"/>
          <w:lang w:val="en-US" w:eastAsia="zh-CN"/>
        </w:rPr>
      </w:pPr>
      <w:r>
        <w:rPr>
          <w:b/>
          <w:sz w:val="24"/>
        </w:rPr>
        <w:t>3GPP TSG-SA WG6 Meeting #58</w:t>
      </w:r>
      <w:r>
        <w:rPr>
          <w:b/>
          <w:sz w:val="24"/>
        </w:rPr>
        <w:tab/>
      </w:r>
      <w:r>
        <w:rPr>
          <w:b/>
          <w:sz w:val="24"/>
        </w:rPr>
        <w:t>S6-23</w:t>
      </w:r>
      <w:r>
        <w:rPr>
          <w:rFonts w:hint="eastAsia"/>
          <w:b/>
          <w:sz w:val="24"/>
          <w:lang w:val="en-US" w:eastAsia="zh-CN"/>
        </w:rPr>
        <w:t>3503</w:t>
      </w:r>
    </w:p>
    <w:p>
      <w:pPr>
        <w:pStyle w:val="22"/>
        <w:tabs>
          <w:tab w:val="right" w:pos="9639"/>
        </w:tabs>
        <w:spacing w:after="0"/>
        <w:rPr>
          <w:b/>
          <w:sz w:val="24"/>
        </w:rPr>
      </w:pPr>
      <w:r>
        <w:rPr>
          <w:b/>
          <w:sz w:val="22"/>
          <w:szCs w:val="22"/>
        </w:rPr>
        <w:t>Chicago, USA, 13</w:t>
      </w:r>
      <w:r>
        <w:rPr>
          <w:b/>
          <w:sz w:val="22"/>
          <w:szCs w:val="22"/>
          <w:vertAlign w:val="superscript"/>
        </w:rPr>
        <w:t>th</w:t>
      </w:r>
      <w:r>
        <w:rPr>
          <w:b/>
          <w:sz w:val="22"/>
          <w:szCs w:val="22"/>
        </w:rPr>
        <w:t xml:space="preserve"> – 17</w:t>
      </w:r>
      <w:r>
        <w:rPr>
          <w:b/>
          <w:sz w:val="22"/>
          <w:szCs w:val="22"/>
          <w:vertAlign w:val="superscript"/>
        </w:rPr>
        <w:t>th</w:t>
      </w:r>
      <w:r>
        <w:rPr>
          <w:b/>
          <w:sz w:val="22"/>
          <w:szCs w:val="22"/>
        </w:rPr>
        <w:t xml:space="preserve"> November 2023</w:t>
      </w:r>
      <w:r>
        <w:rPr>
          <w:rFonts w:cs="Arial"/>
          <w:b/>
          <w:bCs/>
          <w:sz w:val="22"/>
        </w:rPr>
        <w:tab/>
      </w:r>
      <w:r>
        <w:rPr>
          <w:b/>
          <w:sz w:val="22"/>
          <w:szCs w:val="22"/>
        </w:rPr>
        <w:t>(revision of S6-23xxxx)</w:t>
      </w:r>
    </w:p>
    <w:p>
      <w:pPr>
        <w:pBdr>
          <w:bottom w:val="single" w:color="auto" w:sz="4" w:space="1"/>
        </w:pBdr>
        <w:tabs>
          <w:tab w:val="right" w:pos="9639"/>
        </w:tabs>
        <w:jc w:val="both"/>
        <w:outlineLvl w:val="0"/>
        <w:rPr>
          <w:rFonts w:ascii="Arial" w:hAnsi="Arial" w:eastAsia="Batang" w:cs="Arial"/>
          <w:b/>
          <w:sz w:val="24"/>
          <w:lang w:eastAsia="zh-CN"/>
        </w:rPr>
      </w:pP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Broadnet</w:t>
      </w:r>
      <w:r>
        <w:rPr>
          <w:rFonts w:ascii="Arial" w:hAnsi="Arial" w:eastAsia="Batang"/>
          <w:b/>
          <w:sz w:val="24"/>
          <w:szCs w:val="24"/>
          <w:lang w:val="en-US" w:eastAsia="zh-CN"/>
        </w:rPr>
        <w:t>,</w:t>
      </w:r>
      <w:r>
        <w:rPr>
          <w:rFonts w:hint="eastAsia" w:ascii="Arial" w:hAnsi="Arial" w:eastAsia="Batang"/>
          <w:b/>
          <w:sz w:val="24"/>
          <w:szCs w:val="24"/>
          <w:lang w:val="en-US" w:eastAsia="zh-CN"/>
        </w:rPr>
        <w:t xml:space="preserve"> CMCC</w:t>
      </w:r>
      <w:r>
        <w:rPr>
          <w:rFonts w:ascii="Arial" w:hAnsi="Arial" w:eastAsia="Batang"/>
          <w:b/>
          <w:sz w:val="24"/>
          <w:szCs w:val="24"/>
          <w:lang w:val="en-US" w:eastAsia="zh-CN"/>
        </w:rPr>
        <w:t>, China Telecom,</w:t>
      </w:r>
      <w:r>
        <w:rPr>
          <w:rFonts w:hint="eastAsia" w:ascii="Arial" w:hAnsi="Arial" w:eastAsia="Batang"/>
          <w:b/>
          <w:sz w:val="24"/>
          <w:szCs w:val="24"/>
          <w:lang w:val="en-US" w:eastAsia="zh-CN"/>
        </w:rPr>
        <w:t xml:space="preserve">China Unicom, ZTE,CALTTA, </w:t>
      </w:r>
      <w:bookmarkStart w:id="8" w:name="_GoBack"/>
      <w:bookmarkEnd w:id="8"/>
      <w:r>
        <w:rPr>
          <w:rFonts w:hint="eastAsia" w:ascii="Arial" w:hAnsi="Arial" w:eastAsia="Batang"/>
          <w:b/>
          <w:sz w:val="24"/>
          <w:szCs w:val="24"/>
          <w:lang w:val="en-US" w:eastAsia="zh-CN"/>
        </w:rPr>
        <w:t>CATT, HuaWei</w:t>
      </w:r>
      <w:r>
        <w:rPr>
          <w:rFonts w:ascii="Arial" w:hAnsi="Arial" w:eastAsia="Batang"/>
          <w:b/>
          <w:sz w:val="24"/>
          <w:szCs w:val="24"/>
          <w:lang w:val="en-US" w:eastAsia="zh-CN"/>
        </w:rPr>
        <w:t>...</w:t>
      </w:r>
    </w:p>
    <w:p>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New SID on Public Warning application over 5GS</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ascii="Arial" w:hAnsi="Arial" w:eastAsia="Batang"/>
          <w:b/>
          <w:sz w:val="24"/>
          <w:szCs w:val="24"/>
          <w:lang w:val="en-US" w:eastAsia="zh-CN"/>
        </w:rPr>
        <w:t>10</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rPr>
          <w:color w:val="262626" w:themeColor="text1" w:themeTint="D9"/>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r>
        <w:rPr>
          <w:color w:val="262626" w:themeColor="text1" w:themeTint="D9"/>
          <w14:textFill>
            <w14:solidFill>
              <w14:schemeClr w14:val="tx1">
                <w14:lumMod w14:val="85000"/>
                <w14:lumOff w14:val="15000"/>
              </w14:schemeClr>
            </w14:solidFill>
          </w14:textFill>
        </w:rPr>
        <w:t xml:space="preserve"> </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Study on Public warning application over 5GS</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pStyle w:val="24"/>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FS_PWApp</w:t>
      </w:r>
    </w:p>
    <w:p>
      <w:pPr>
        <w:pStyle w:val="24"/>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TBD</w:t>
      </w:r>
    </w:p>
    <w:p>
      <w:pPr>
        <w:pStyle w:val="24"/>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Rel-19</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7"/>
            </w:pPr>
            <w:r>
              <w:t>Affects:</w:t>
            </w:r>
          </w:p>
        </w:tc>
        <w:tc>
          <w:tcPr>
            <w:tcW w:w="1275" w:type="dxa"/>
            <w:tcBorders>
              <w:left w:val="nil"/>
              <w:bottom w:val="single" w:color="auto" w:sz="12" w:space="0"/>
            </w:tcBorders>
            <w:shd w:val="clear" w:color="auto" w:fill="E0E0E0"/>
          </w:tcPr>
          <w:p>
            <w:pPr>
              <w:pStyle w:val="27"/>
            </w:pPr>
            <w:r>
              <w:t>UICC apps</w:t>
            </w:r>
          </w:p>
        </w:tc>
        <w:tc>
          <w:tcPr>
            <w:tcW w:w="1037" w:type="dxa"/>
            <w:tcBorders>
              <w:bottom w:val="single" w:color="auto" w:sz="12" w:space="0"/>
            </w:tcBorders>
            <w:shd w:val="clear" w:color="auto" w:fill="E0E0E0"/>
          </w:tcPr>
          <w:p>
            <w:pPr>
              <w:pStyle w:val="27"/>
            </w:pPr>
            <w:r>
              <w:t>ME</w:t>
            </w:r>
          </w:p>
        </w:tc>
        <w:tc>
          <w:tcPr>
            <w:tcW w:w="850" w:type="dxa"/>
            <w:tcBorders>
              <w:bottom w:val="single" w:color="auto" w:sz="12" w:space="0"/>
            </w:tcBorders>
            <w:shd w:val="clear" w:color="auto" w:fill="E0E0E0"/>
          </w:tcPr>
          <w:p>
            <w:pPr>
              <w:pStyle w:val="27"/>
            </w:pPr>
            <w:r>
              <w:t>AN</w:t>
            </w:r>
          </w:p>
        </w:tc>
        <w:tc>
          <w:tcPr>
            <w:tcW w:w="851" w:type="dxa"/>
            <w:tcBorders>
              <w:bottom w:val="single" w:color="auto" w:sz="12" w:space="0"/>
            </w:tcBorders>
            <w:shd w:val="clear" w:color="auto" w:fill="E0E0E0"/>
          </w:tcPr>
          <w:p>
            <w:pPr>
              <w:pStyle w:val="27"/>
            </w:pPr>
            <w:r>
              <w:t>CN</w:t>
            </w:r>
          </w:p>
        </w:tc>
        <w:tc>
          <w:tcPr>
            <w:tcW w:w="1752" w:type="dxa"/>
            <w:tcBorders>
              <w:bottom w:val="single" w:color="auto" w:sz="12" w:space="0"/>
            </w:tcBorders>
            <w:shd w:val="clear" w:color="auto" w:fill="E0E0E0"/>
          </w:tcPr>
          <w:p>
            <w:pPr>
              <w:pStyle w:val="27"/>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7"/>
            </w:pPr>
            <w:r>
              <w:t>Yes</w:t>
            </w:r>
          </w:p>
        </w:tc>
        <w:tc>
          <w:tcPr>
            <w:tcW w:w="1275" w:type="dxa"/>
            <w:tcBorders>
              <w:top w:val="nil"/>
              <w:left w:val="nil"/>
            </w:tcBorders>
          </w:tcPr>
          <w:p>
            <w:pPr>
              <w:pStyle w:val="28"/>
            </w:pPr>
          </w:p>
        </w:tc>
        <w:tc>
          <w:tcPr>
            <w:tcW w:w="1037" w:type="dxa"/>
            <w:tcBorders>
              <w:top w:val="nil"/>
            </w:tcBorders>
          </w:tcPr>
          <w:p>
            <w:pPr>
              <w:pStyle w:val="28"/>
              <w:rPr>
                <w:lang w:eastAsia="zh-CN"/>
              </w:rPr>
            </w:pPr>
            <w:r>
              <w:rPr>
                <w:rFonts w:hint="eastAsia"/>
                <w:lang w:eastAsia="zh-CN"/>
              </w:rPr>
              <w:t>X</w:t>
            </w:r>
          </w:p>
        </w:tc>
        <w:tc>
          <w:tcPr>
            <w:tcW w:w="850" w:type="dxa"/>
            <w:tcBorders>
              <w:top w:val="nil"/>
            </w:tcBorders>
          </w:tcPr>
          <w:p>
            <w:pPr>
              <w:pStyle w:val="28"/>
            </w:pPr>
          </w:p>
        </w:tc>
        <w:tc>
          <w:tcPr>
            <w:tcW w:w="851" w:type="dxa"/>
            <w:tcBorders>
              <w:top w:val="nil"/>
            </w:tcBorders>
          </w:tcPr>
          <w:p>
            <w:pPr>
              <w:pStyle w:val="28"/>
              <w:rPr>
                <w:lang w:eastAsia="zh-CN"/>
              </w:rPr>
            </w:pPr>
            <w:r>
              <w:rPr>
                <w:rFonts w:hint="eastAsia"/>
                <w:lang w:eastAsia="zh-CN"/>
              </w:rPr>
              <w:t>X</w:t>
            </w:r>
          </w:p>
        </w:tc>
        <w:tc>
          <w:tcPr>
            <w:tcW w:w="1752" w:type="dxa"/>
            <w:tcBorders>
              <w:top w:val="nil"/>
            </w:tcBorders>
          </w:tcPr>
          <w:p>
            <w:pPr>
              <w:pStyle w:val="28"/>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7"/>
            </w:pPr>
            <w:r>
              <w:t>No</w:t>
            </w:r>
          </w:p>
        </w:tc>
        <w:tc>
          <w:tcPr>
            <w:tcW w:w="1275" w:type="dxa"/>
            <w:tcBorders>
              <w:left w:val="nil"/>
            </w:tcBorders>
          </w:tcPr>
          <w:p>
            <w:pPr>
              <w:pStyle w:val="28"/>
              <w:rPr>
                <w:lang w:eastAsia="zh-CN"/>
              </w:rPr>
            </w:pPr>
            <w:r>
              <w:rPr>
                <w:rFonts w:hint="eastAsia"/>
                <w:lang w:eastAsia="zh-CN"/>
              </w:rPr>
              <w:t>X</w:t>
            </w:r>
          </w:p>
        </w:tc>
        <w:tc>
          <w:tcPr>
            <w:tcW w:w="1037" w:type="dxa"/>
          </w:tcPr>
          <w:p>
            <w:pPr>
              <w:pStyle w:val="28"/>
            </w:pPr>
          </w:p>
        </w:tc>
        <w:tc>
          <w:tcPr>
            <w:tcW w:w="850" w:type="dxa"/>
          </w:tcPr>
          <w:p>
            <w:pPr>
              <w:pStyle w:val="28"/>
              <w:rPr>
                <w:lang w:eastAsia="zh-CN"/>
              </w:rPr>
            </w:pPr>
            <w:r>
              <w:rPr>
                <w:lang w:eastAsia="zh-CN"/>
              </w:rPr>
              <w:t>X</w:t>
            </w:r>
          </w:p>
        </w:tc>
        <w:tc>
          <w:tcPr>
            <w:tcW w:w="851" w:type="dxa"/>
          </w:tcPr>
          <w:p>
            <w:pPr>
              <w:pStyle w:val="28"/>
              <w:rPr>
                <w:lang w:eastAsia="zh-CN"/>
              </w:rPr>
            </w:pPr>
          </w:p>
        </w:tc>
        <w:tc>
          <w:tcPr>
            <w:tcW w:w="1752" w:type="dxa"/>
          </w:tcPr>
          <w:p>
            <w:pPr>
              <w:pStyle w:val="28"/>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7"/>
            </w:pPr>
            <w:r>
              <w:t>Don't know</w:t>
            </w:r>
          </w:p>
        </w:tc>
        <w:tc>
          <w:tcPr>
            <w:tcW w:w="1275" w:type="dxa"/>
            <w:tcBorders>
              <w:left w:val="nil"/>
            </w:tcBorders>
          </w:tcPr>
          <w:p>
            <w:pPr>
              <w:pStyle w:val="28"/>
            </w:pPr>
          </w:p>
        </w:tc>
        <w:tc>
          <w:tcPr>
            <w:tcW w:w="1037" w:type="dxa"/>
          </w:tcPr>
          <w:p>
            <w:pPr>
              <w:pStyle w:val="28"/>
            </w:pPr>
          </w:p>
        </w:tc>
        <w:tc>
          <w:tcPr>
            <w:tcW w:w="850" w:type="dxa"/>
          </w:tcPr>
          <w:p>
            <w:pPr>
              <w:pStyle w:val="28"/>
            </w:pPr>
          </w:p>
        </w:tc>
        <w:tc>
          <w:tcPr>
            <w:tcW w:w="851" w:type="dxa"/>
          </w:tcPr>
          <w:p>
            <w:pPr>
              <w:pStyle w:val="28"/>
            </w:pPr>
          </w:p>
        </w:tc>
        <w:tc>
          <w:tcPr>
            <w:tcW w:w="1752" w:type="dxa"/>
          </w:tcPr>
          <w:p>
            <w:pPr>
              <w:pStyle w:val="28"/>
              <w:rPr>
                <w:lang w:eastAsia="zh-CN"/>
              </w:rPr>
            </w:pPr>
            <w:r>
              <w:rPr>
                <w:rFonts w:hint="eastAsia"/>
                <w:lang w:eastAsia="zh-CN"/>
              </w:rPr>
              <w:t>X</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8"/>
            </w:pPr>
          </w:p>
        </w:tc>
        <w:tc>
          <w:tcPr>
            <w:tcW w:w="2917" w:type="dxa"/>
            <w:shd w:val="clear" w:color="auto" w:fill="E0E0E0"/>
          </w:tcPr>
          <w:p>
            <w:pPr>
              <w:pStyle w:val="27"/>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8"/>
            </w:pPr>
          </w:p>
        </w:tc>
        <w:tc>
          <w:tcPr>
            <w:tcW w:w="2917" w:type="dxa"/>
            <w:shd w:val="clear" w:color="auto" w:fill="E0E0E0"/>
          </w:tcPr>
          <w:p>
            <w:pPr>
              <w:pStyle w:val="27"/>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8"/>
            </w:pPr>
          </w:p>
        </w:tc>
        <w:tc>
          <w:tcPr>
            <w:tcW w:w="2917" w:type="dxa"/>
            <w:shd w:val="clear" w:color="auto" w:fill="E0E0E0"/>
          </w:tcPr>
          <w:p>
            <w:pPr>
              <w:pStyle w:val="27"/>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8"/>
            </w:pPr>
          </w:p>
        </w:tc>
        <w:tc>
          <w:tcPr>
            <w:tcW w:w="2917" w:type="dxa"/>
            <w:shd w:val="clear" w:color="auto" w:fill="E0E0E0"/>
          </w:tcPr>
          <w:p>
            <w:pPr>
              <w:pStyle w:val="27"/>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8"/>
            </w:pPr>
          </w:p>
        </w:tc>
        <w:tc>
          <w:tcPr>
            <w:tcW w:w="2917" w:type="dxa"/>
            <w:shd w:val="clear" w:color="auto" w:fill="E0E0E0"/>
          </w:tcPr>
          <w:p>
            <w:pPr>
              <w:pStyle w:val="27"/>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r>
        <w:t>For a brand-new topic, use “N/A” in the table below. Otherwise indicate the parent Work Item.</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7"/>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7"/>
              <w:ind w:right="-99"/>
              <w:jc w:val="left"/>
            </w:pPr>
            <w:r>
              <w:t>Acronym</w:t>
            </w:r>
          </w:p>
        </w:tc>
        <w:tc>
          <w:tcPr>
            <w:tcW w:w="1101" w:type="dxa"/>
            <w:shd w:val="clear" w:color="auto" w:fill="E0E0E0"/>
          </w:tcPr>
          <w:p>
            <w:pPr>
              <w:pStyle w:val="27"/>
              <w:ind w:right="-99"/>
              <w:jc w:val="left"/>
            </w:pPr>
            <w:r>
              <w:t>Working Group</w:t>
            </w:r>
          </w:p>
        </w:tc>
        <w:tc>
          <w:tcPr>
            <w:tcW w:w="1101" w:type="dxa"/>
            <w:shd w:val="clear" w:color="auto" w:fill="E0E0E0"/>
          </w:tcPr>
          <w:p>
            <w:pPr>
              <w:pStyle w:val="27"/>
              <w:ind w:right="-99"/>
              <w:jc w:val="left"/>
            </w:pPr>
            <w:r>
              <w:t>Unique ID</w:t>
            </w:r>
          </w:p>
        </w:tc>
        <w:tc>
          <w:tcPr>
            <w:tcW w:w="6010" w:type="dxa"/>
            <w:shd w:val="clear" w:color="auto" w:fill="E0E0E0"/>
          </w:tcPr>
          <w:p>
            <w:pPr>
              <w:pStyle w:val="27"/>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6"/>
              <w:rPr>
                <w:lang w:eastAsia="zh-CN"/>
              </w:rPr>
            </w:pPr>
            <w:r>
              <w:rPr>
                <w:rFonts w:hint="eastAsia"/>
                <w:lang w:eastAsia="zh-CN"/>
              </w:rPr>
              <w:t>N</w:t>
            </w:r>
            <w:r>
              <w:rPr>
                <w:lang w:eastAsia="zh-CN"/>
              </w:rPr>
              <w:t>/A</w:t>
            </w:r>
          </w:p>
        </w:tc>
        <w:tc>
          <w:tcPr>
            <w:tcW w:w="1101" w:type="dxa"/>
          </w:tcPr>
          <w:p>
            <w:pPr>
              <w:pStyle w:val="26"/>
              <w:rPr>
                <w:lang w:eastAsia="zh-CN"/>
              </w:rPr>
            </w:pPr>
          </w:p>
        </w:tc>
        <w:tc>
          <w:tcPr>
            <w:tcW w:w="1101" w:type="dxa"/>
          </w:tcPr>
          <w:p>
            <w:pPr>
              <w:pStyle w:val="26"/>
            </w:pPr>
          </w:p>
        </w:tc>
        <w:tc>
          <w:tcPr>
            <w:tcW w:w="6010" w:type="dxa"/>
          </w:tcPr>
          <w:p>
            <w:pPr>
              <w:pStyle w:val="26"/>
            </w:pP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7"/>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7"/>
            </w:pPr>
            <w:r>
              <w:t>Unique ID</w:t>
            </w:r>
          </w:p>
        </w:tc>
        <w:tc>
          <w:tcPr>
            <w:tcW w:w="3326" w:type="dxa"/>
            <w:shd w:val="clear" w:color="auto" w:fill="E0E0E0"/>
          </w:tcPr>
          <w:p>
            <w:pPr>
              <w:pStyle w:val="27"/>
            </w:pPr>
            <w:r>
              <w:t>Title</w:t>
            </w:r>
          </w:p>
        </w:tc>
        <w:tc>
          <w:tcPr>
            <w:tcW w:w="5099" w:type="dxa"/>
            <w:shd w:val="clear" w:color="auto" w:fill="E0E0E0"/>
          </w:tcPr>
          <w:p>
            <w:pPr>
              <w:pStyle w:val="27"/>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6"/>
            </w:pPr>
            <w:r>
              <w:t>380058</w:t>
            </w:r>
          </w:p>
        </w:tc>
        <w:tc>
          <w:tcPr>
            <w:tcW w:w="3326" w:type="dxa"/>
          </w:tcPr>
          <w:p>
            <w:pPr>
              <w:pStyle w:val="26"/>
            </w:pPr>
            <w:r>
              <w:t>Stage 1 for Public Warning System</w:t>
            </w:r>
          </w:p>
        </w:tc>
        <w:tc>
          <w:tcPr>
            <w:tcW w:w="5099" w:type="dxa"/>
          </w:tcPr>
          <w:p>
            <w:pPr>
              <w:pStyle w:val="24"/>
            </w:pPr>
            <w:r>
              <w:t>SA1 work for Public Warning System</w:t>
            </w:r>
          </w:p>
        </w:tc>
      </w:tr>
    </w:tbl>
    <w:p>
      <w:pPr>
        <w:pStyle w:val="29"/>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spacing w:after="180"/>
      </w:pPr>
      <w:bookmarkStart w:id="0" w:name="OLE_LINK5"/>
      <w:r>
        <w:t xml:space="preserve">3GPP SA1 has specified service requirements for Public Warning System (PWS) requirements in TS 22.268. </w:t>
      </w:r>
    </w:p>
    <w:p>
      <w:pPr>
        <w:spacing w:after="180"/>
      </w:pPr>
    </w:p>
    <w:p>
      <w:pPr>
        <w:spacing w:after="180"/>
      </w:pPr>
      <w:r>
        <w:t>In 5GS, the CBS mechanism is specified to support the PWS. However, the PWS over CBS has some limitations, e.g., only text with restricted length,</w:t>
      </w:r>
      <w:bookmarkStart w:id="1" w:name="OLE_LINK1"/>
      <w:r>
        <w:t xml:space="preserve"> unidirectional broadcast without acknowledgement. In some scenarios, the plain text is not sufficient as it is </w:t>
      </w:r>
      <w:r>
        <w:rPr>
          <w:lang w:val="en-US" w:eastAsia="zh-CN"/>
        </w:rPr>
        <w:t>easily neglected by people and not viewed in real time</w:t>
      </w:r>
      <w:r>
        <w:rPr>
          <w:lang w:val="en-US"/>
        </w:rPr>
        <w:t xml:space="preserve"> and interactive multimedia services are demanded</w:t>
      </w:r>
      <w:r>
        <w:t>.</w:t>
      </w:r>
      <w:r>
        <w:rPr>
          <w:lang w:val="en-US" w:eastAsia="zh-CN"/>
        </w:rPr>
        <w:t xml:space="preserve"> </w:t>
      </w:r>
      <w:bookmarkEnd w:id="1"/>
      <w:r>
        <w:t xml:space="preserve">For example, when the flood occurs, </w:t>
      </w:r>
      <w:r>
        <w:rPr>
          <w:lang w:val="en-US"/>
        </w:rPr>
        <w:t>people within relevant areas</w:t>
      </w:r>
      <w:r>
        <w:t xml:space="preserve"> may </w:t>
      </w:r>
      <w:r>
        <w:rPr>
          <w:lang w:val="en-US"/>
        </w:rPr>
        <w:t xml:space="preserve">ignore or </w:t>
      </w:r>
      <w:r>
        <w:t xml:space="preserve">underestimate the danger from the plain text notification and still go to the mountains for hiking, camping. Some people may be unwilling to leave the area even if </w:t>
      </w:r>
      <w:r>
        <w:rPr>
          <w:lang w:val="en-US"/>
        </w:rPr>
        <w:t>text message is received</w:t>
      </w:r>
      <w:r>
        <w:t xml:space="preserve">. In such cases, the real-time </w:t>
      </w:r>
      <w:r>
        <w:rPr>
          <w:lang w:val="en-US"/>
        </w:rPr>
        <w:t xml:space="preserve">multimedia notification on mobile phone with sound/vibration showing </w:t>
      </w:r>
      <w:r>
        <w:t xml:space="preserve">flood video </w:t>
      </w:r>
      <w:r>
        <w:rPr>
          <w:lang w:val="en-US"/>
        </w:rPr>
        <w:t xml:space="preserve">and escape route indication </w:t>
      </w:r>
      <w:r>
        <w:t>will make them more clear about the dangerous situation</w:t>
      </w:r>
      <w:r>
        <w:rPr>
          <w:lang w:val="en-US"/>
        </w:rPr>
        <w:t xml:space="preserve"> and get effective assistance to survive through multimedia and interactive services</w:t>
      </w:r>
      <w:r>
        <w:t xml:space="preserve">. </w:t>
      </w:r>
      <w:r>
        <w:rPr>
          <w:rFonts w:hint="eastAsia"/>
          <w:lang w:eastAsia="zh-CN"/>
        </w:rPr>
        <w:t>Also</w:t>
      </w:r>
      <w:r>
        <w:rPr>
          <w:lang w:eastAsia="zh-CN"/>
        </w:rPr>
        <w:t>,</w:t>
      </w:r>
      <w:r>
        <w:t xml:space="preserve"> the acknowledgement from the users is desired to make sure that the targets in the area is well notified. Such acknowledgement is also beneficial for further actions to reduce avoidable casualties.</w:t>
      </w:r>
    </w:p>
    <w:p>
      <w:pPr>
        <w:spacing w:after="180"/>
        <w:rPr>
          <w:rFonts w:hint="eastAsia"/>
          <w:lang w:eastAsia="zh-CN"/>
        </w:rPr>
      </w:pPr>
      <w:bookmarkStart w:id="2" w:name="OLE_LINK2"/>
      <w:r>
        <w:rPr>
          <w:lang w:eastAsia="zh-CN"/>
        </w:rPr>
        <w:t xml:space="preserve">In addition, the </w:t>
      </w:r>
      <w:r>
        <w:rPr>
          <w:lang w:val="en-US"/>
        </w:rPr>
        <w:t>5MBS broadcast mode could be utilized to broadcast PW notifications to cell phone users across different operators’ 5G networks in order to provide better public services.</w:t>
      </w:r>
      <w:bookmarkEnd w:id="2"/>
    </w:p>
    <w:p>
      <w:pPr>
        <w:spacing w:after="180"/>
      </w:pPr>
    </w:p>
    <w:p>
      <w:pPr>
        <w:spacing w:after="180"/>
        <w:rPr>
          <w:lang w:val="en-US"/>
        </w:rPr>
      </w:pPr>
      <w:bookmarkStart w:id="3" w:name="OLE_LINK4"/>
      <w:bookmarkStart w:id="4" w:name="OLE_LINK3"/>
      <w:r>
        <w:t>As a complementary, the PWS over 5GS/5MBS can provide more information in multiple media types e.g., video, audio, map and so on.</w:t>
      </w:r>
      <w:r>
        <w:rPr>
          <w:lang w:val="en-US"/>
        </w:rPr>
        <w:t xml:space="preserve"> </w:t>
      </w:r>
      <w:bookmarkEnd w:id="3"/>
    </w:p>
    <w:bookmarkEnd w:id="0"/>
    <w:bookmarkEnd w:id="4"/>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pStyle w:val="24"/>
      </w:pPr>
      <w:r>
        <w:t>{Summary of what is intended to be achieved. Free text}</w:t>
      </w:r>
    </w:p>
    <w:p>
      <w:r>
        <w:t xml:space="preserve">The objectives of the study include: </w:t>
      </w:r>
    </w:p>
    <w:p>
      <w:pPr>
        <w:pStyle w:val="18"/>
        <w:spacing w:after="180"/>
        <w:ind w:left="568" w:hanging="284"/>
        <w:jc w:val="left"/>
        <w:rPr>
          <w:rFonts w:ascii="Times New Roman" w:hAnsi="Times New Roman" w:eastAsia="宋体"/>
          <w:lang w:eastAsia="zh-CN"/>
        </w:rPr>
      </w:pPr>
      <w:r>
        <w:rPr>
          <w:rFonts w:ascii="Times New Roman" w:hAnsi="Times New Roman" w:eastAsia="宋体"/>
          <w:lang w:eastAsia="zh-CN"/>
        </w:rPr>
        <w:t>1.</w:t>
      </w:r>
      <w:bookmarkStart w:id="5" w:name="OLE_LINK7"/>
      <w:r>
        <w:rPr>
          <w:rFonts w:ascii="Times New Roman" w:hAnsi="Times New Roman" w:eastAsia="宋体"/>
          <w:lang w:eastAsia="zh-CN"/>
        </w:rPr>
        <w:tab/>
      </w:r>
      <w:r>
        <w:rPr>
          <w:rFonts w:ascii="Times New Roman" w:hAnsi="Times New Roman" w:eastAsia="宋体"/>
          <w:lang w:eastAsia="zh-CN"/>
        </w:rPr>
        <w:t>Analyse requirements of public warning over 5GS/5MBS including SA1, SA6 and other SDO, industry organizations.</w:t>
      </w:r>
      <w:bookmarkEnd w:id="5"/>
    </w:p>
    <w:p>
      <w:pPr>
        <w:pStyle w:val="18"/>
        <w:spacing w:after="180"/>
        <w:ind w:left="568" w:hanging="284"/>
        <w:jc w:val="left"/>
        <w:rPr>
          <w:rFonts w:ascii="Times New Roman" w:hAnsi="Times New Roman" w:eastAsia="宋体"/>
          <w:lang w:eastAsia="zh-CN"/>
        </w:rPr>
      </w:pPr>
      <w:r>
        <w:rPr>
          <w:rFonts w:ascii="Times New Roman" w:hAnsi="Times New Roman" w:eastAsia="宋体"/>
          <w:lang w:eastAsia="zh-CN"/>
        </w:rPr>
        <w:t>2.</w:t>
      </w:r>
      <w:r>
        <w:rPr>
          <w:rFonts w:ascii="Times New Roman" w:hAnsi="Times New Roman" w:eastAsia="宋体"/>
          <w:lang w:eastAsia="zh-CN"/>
        </w:rPr>
        <w:tab/>
      </w:r>
      <w:r>
        <w:rPr>
          <w:rFonts w:ascii="Times New Roman" w:hAnsi="Times New Roman" w:eastAsia="宋体"/>
          <w:lang w:eastAsia="zh-CN"/>
        </w:rPr>
        <w:t>Based the requirements, develop keys, corresponding architecture requirements and solution recommendations to support the PWS over 5GS/5MBS considering the following aspects (but not limited to):</w:t>
      </w:r>
    </w:p>
    <w:p>
      <w:pPr>
        <w:pStyle w:val="18"/>
        <w:spacing w:after="180"/>
        <w:ind w:left="968" w:leftChars="342" w:hanging="284"/>
        <w:jc w:val="left"/>
        <w:rPr>
          <w:rFonts w:ascii="Times New Roman" w:hAnsi="Times New Roman" w:eastAsia="宋体"/>
          <w:lang w:eastAsia="zh-CN"/>
        </w:rPr>
      </w:pPr>
      <w:bookmarkStart w:id="6" w:name="OLE_LINK8"/>
      <w:r>
        <w:rPr>
          <w:rFonts w:ascii="Times New Roman" w:hAnsi="Times New Roman" w:eastAsia="宋体"/>
          <w:lang w:eastAsia="zh-CN"/>
        </w:rPr>
        <w:t>a.</w:t>
      </w:r>
      <w:r>
        <w:rPr>
          <w:rFonts w:ascii="Times New Roman" w:hAnsi="Times New Roman" w:eastAsia="宋体"/>
          <w:lang w:eastAsia="zh-CN"/>
        </w:rPr>
        <w:tab/>
      </w:r>
      <w:r>
        <w:rPr>
          <w:rFonts w:ascii="Times New Roman" w:hAnsi="Times New Roman" w:eastAsia="宋体"/>
          <w:lang w:eastAsia="zh-CN"/>
        </w:rPr>
        <w:t>Support customized public warning content per different area;</w:t>
      </w:r>
    </w:p>
    <w:p>
      <w:pPr>
        <w:pStyle w:val="18"/>
        <w:spacing w:after="180"/>
        <w:ind w:left="968" w:leftChars="342" w:hanging="284"/>
        <w:jc w:val="left"/>
        <w:rPr>
          <w:rFonts w:ascii="Times New Roman" w:hAnsi="Times New Roman" w:eastAsia="宋体"/>
          <w:lang w:eastAsia="zh-CN"/>
        </w:rPr>
      </w:pPr>
      <w:r>
        <w:rPr>
          <w:rFonts w:ascii="Times New Roman" w:hAnsi="Times New Roman" w:eastAsia="宋体"/>
          <w:lang w:eastAsia="zh-CN"/>
        </w:rPr>
        <w:t>b.</w:t>
      </w:r>
      <w:r>
        <w:rPr>
          <w:rFonts w:ascii="Times New Roman" w:hAnsi="Times New Roman" w:eastAsia="宋体"/>
          <w:lang w:eastAsia="zh-CN"/>
        </w:rPr>
        <w:tab/>
      </w:r>
      <w:r>
        <w:rPr>
          <w:rFonts w:ascii="Times New Roman" w:hAnsi="Times New Roman" w:eastAsia="宋体"/>
          <w:lang w:eastAsia="zh-CN"/>
        </w:rPr>
        <w:t>Support of acknowledgement of the public warning</w:t>
      </w:r>
    </w:p>
    <w:p>
      <w:pPr>
        <w:pStyle w:val="18"/>
        <w:spacing w:after="180"/>
        <w:ind w:left="968" w:leftChars="342" w:hanging="284"/>
        <w:jc w:val="left"/>
        <w:rPr>
          <w:rFonts w:ascii="Times New Roman" w:hAnsi="Times New Roman" w:eastAsia="宋体"/>
          <w:lang w:eastAsia="zh-CN"/>
        </w:rPr>
      </w:pPr>
      <w:r>
        <w:rPr>
          <w:rFonts w:ascii="Times New Roman" w:hAnsi="Times New Roman" w:eastAsia="宋体"/>
          <w:lang w:eastAsia="zh-CN"/>
        </w:rPr>
        <w:t>c.</w:t>
      </w:r>
      <w:r>
        <w:rPr>
          <w:rFonts w:ascii="Times New Roman" w:hAnsi="Times New Roman" w:eastAsia="宋体"/>
          <w:lang w:eastAsia="zh-CN"/>
        </w:rPr>
        <w:tab/>
      </w:r>
      <w:r>
        <w:rPr>
          <w:rFonts w:ascii="Times New Roman" w:hAnsi="Times New Roman" w:eastAsia="宋体"/>
          <w:lang w:eastAsia="zh-CN"/>
        </w:rPr>
        <w:t>Support of the priority of the Public Warning Notification management, e.g.., it is not interrupted by other actions on the phone</w:t>
      </w:r>
    </w:p>
    <w:p>
      <w:pPr>
        <w:pStyle w:val="18"/>
        <w:spacing w:after="180"/>
        <w:ind w:left="968" w:leftChars="342" w:hanging="284"/>
        <w:jc w:val="left"/>
        <w:rPr>
          <w:rFonts w:ascii="Times New Roman" w:hAnsi="Times New Roman" w:eastAsia="宋体"/>
          <w:lang w:eastAsia="zh-CN"/>
        </w:rPr>
      </w:pPr>
      <w:r>
        <w:rPr>
          <w:rFonts w:ascii="Times New Roman" w:hAnsi="Times New Roman" w:eastAsia="宋体"/>
          <w:lang w:eastAsia="zh-CN"/>
        </w:rPr>
        <w:t>d.</w:t>
      </w:r>
      <w:r>
        <w:rPr>
          <w:rFonts w:ascii="Times New Roman" w:hAnsi="Times New Roman" w:eastAsia="宋体"/>
          <w:lang w:eastAsia="zh-CN"/>
        </w:rPr>
        <w:tab/>
      </w:r>
      <w:r>
        <w:rPr>
          <w:rFonts w:ascii="Times New Roman" w:hAnsi="Times New Roman" w:eastAsia="宋体"/>
          <w:lang w:eastAsia="zh-CN"/>
        </w:rPr>
        <w:t>Support of delivery of public warning content in an efficient way, e.g., make use of 5G MBS</w:t>
      </w:r>
    </w:p>
    <w:p>
      <w:pPr>
        <w:pStyle w:val="18"/>
        <w:spacing w:after="180"/>
        <w:ind w:left="968" w:leftChars="342" w:hanging="284"/>
        <w:jc w:val="left"/>
        <w:rPr>
          <w:rFonts w:ascii="Times New Roman" w:hAnsi="Times New Roman" w:eastAsia="宋体"/>
          <w:lang w:eastAsia="zh-CN"/>
        </w:rPr>
      </w:pPr>
      <w:r>
        <w:rPr>
          <w:rFonts w:ascii="Times New Roman" w:hAnsi="Times New Roman" w:eastAsia="宋体"/>
          <w:lang w:eastAsia="zh-CN"/>
        </w:rPr>
        <w:t>e.</w:t>
      </w:r>
      <w:r>
        <w:rPr>
          <w:rFonts w:ascii="Times New Roman" w:hAnsi="Times New Roman" w:eastAsia="宋体"/>
          <w:lang w:eastAsia="zh-CN"/>
        </w:rPr>
        <w:tab/>
      </w:r>
      <w:r>
        <w:rPr>
          <w:rFonts w:ascii="Times New Roman" w:hAnsi="Times New Roman" w:eastAsia="宋体"/>
          <w:lang w:eastAsia="zh-CN"/>
        </w:rPr>
        <w:t>Support of the public warning notification settings, e.g., on, off, on-demand</w:t>
      </w:r>
    </w:p>
    <w:p>
      <w:pPr>
        <w:pStyle w:val="18"/>
        <w:spacing w:after="180"/>
        <w:ind w:left="968" w:leftChars="342" w:hanging="284"/>
        <w:jc w:val="left"/>
        <w:rPr>
          <w:rFonts w:ascii="Times New Roman" w:hAnsi="Times New Roman" w:eastAsia="宋体"/>
          <w:lang w:eastAsia="zh-CN"/>
        </w:rPr>
      </w:pPr>
      <w:r>
        <w:rPr>
          <w:rFonts w:ascii="Times New Roman" w:hAnsi="Times New Roman" w:eastAsia="宋体"/>
          <w:lang w:eastAsia="zh-CN"/>
        </w:rPr>
        <w:t>f.</w:t>
      </w:r>
      <w:r>
        <w:rPr>
          <w:rFonts w:ascii="Times New Roman" w:hAnsi="Times New Roman" w:eastAsia="宋体"/>
          <w:lang w:eastAsia="zh-CN"/>
        </w:rPr>
        <w:tab/>
      </w:r>
      <w:r>
        <w:rPr>
          <w:rFonts w:ascii="Times New Roman" w:hAnsi="Times New Roman" w:eastAsia="宋体"/>
          <w:lang w:eastAsia="zh-CN"/>
        </w:rPr>
        <w:t>Identify the existing functionalities/service API provided by SA6 which can be reused.</w:t>
      </w:r>
    </w:p>
    <w:bookmarkEnd w:id="6"/>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pPr>
        <w:rPr>
          <w:b/>
          <w:bCs/>
          <w:i/>
          <w:iCs/>
        </w:rPr>
      </w:pPr>
      <w:r>
        <w:rPr>
          <w:b/>
          <w:bCs/>
          <w:i/>
          <w:iCs/>
        </w:rPr>
        <w:t>{If this WID covers both stage 2 and stage 3, clearly indicate the different completion dates.}</w:t>
      </w:r>
    </w:p>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7"/>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7"/>
            </w:pPr>
            <w:r>
              <w:t xml:space="preserve">Type </w:t>
            </w:r>
          </w:p>
        </w:tc>
        <w:tc>
          <w:tcPr>
            <w:tcW w:w="1134" w:type="dxa"/>
            <w:shd w:val="clear" w:color="auto" w:fill="D9D9D9"/>
            <w:tcMar>
              <w:left w:w="57" w:type="dxa"/>
              <w:right w:w="57" w:type="dxa"/>
            </w:tcMar>
          </w:tcPr>
          <w:p>
            <w:pPr>
              <w:pStyle w:val="27"/>
            </w:pPr>
            <w:r>
              <w:t>TS/TR number</w:t>
            </w:r>
          </w:p>
        </w:tc>
        <w:tc>
          <w:tcPr>
            <w:tcW w:w="2409" w:type="dxa"/>
            <w:shd w:val="clear" w:color="auto" w:fill="D9D9D9"/>
            <w:tcMar>
              <w:left w:w="57" w:type="dxa"/>
              <w:right w:w="57" w:type="dxa"/>
            </w:tcMar>
          </w:tcPr>
          <w:p>
            <w:pPr>
              <w:pStyle w:val="27"/>
            </w:pPr>
            <w:r>
              <w:t>Title</w:t>
            </w:r>
          </w:p>
        </w:tc>
        <w:tc>
          <w:tcPr>
            <w:tcW w:w="993" w:type="dxa"/>
            <w:shd w:val="clear" w:color="auto" w:fill="D9D9D9"/>
            <w:tcMar>
              <w:left w:w="57" w:type="dxa"/>
              <w:right w:w="57" w:type="dxa"/>
            </w:tcMar>
          </w:tcPr>
          <w:p>
            <w:pPr>
              <w:pStyle w:val="27"/>
            </w:pPr>
            <w:r>
              <w:t xml:space="preserve">For info </w:t>
            </w:r>
            <w:r>
              <w:br w:type="textWrapping"/>
            </w:r>
            <w:r>
              <w:t xml:space="preserve">at TSG# </w:t>
            </w:r>
          </w:p>
        </w:tc>
        <w:tc>
          <w:tcPr>
            <w:tcW w:w="1074" w:type="dxa"/>
            <w:shd w:val="clear" w:color="auto" w:fill="D9D9D9"/>
            <w:tcMar>
              <w:left w:w="57" w:type="dxa"/>
              <w:right w:w="57" w:type="dxa"/>
            </w:tcMar>
          </w:tcPr>
          <w:p>
            <w:pPr>
              <w:pStyle w:val="27"/>
            </w:pPr>
            <w:r>
              <w:t>For approval at TSG#</w:t>
            </w:r>
          </w:p>
        </w:tc>
        <w:tc>
          <w:tcPr>
            <w:tcW w:w="2186" w:type="dxa"/>
            <w:shd w:val="clear" w:color="auto" w:fill="D9D9D9"/>
            <w:tcMar>
              <w:left w:w="57" w:type="dxa"/>
              <w:right w:w="57" w:type="dxa"/>
            </w:tcMar>
          </w:tcPr>
          <w:p>
            <w:pPr>
              <w:pStyle w:val="27"/>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Borders>
              <w:top w:val="single" w:color="auto" w:sz="4" w:space="0"/>
              <w:left w:val="single" w:color="auto" w:sz="4" w:space="0"/>
              <w:bottom w:val="single" w:color="auto" w:sz="4" w:space="0"/>
              <w:right w:val="single" w:color="auto" w:sz="4" w:space="0"/>
            </w:tcBorders>
          </w:tcPr>
          <w:p>
            <w:pPr>
              <w:pStyle w:val="24"/>
              <w:spacing w:after="0"/>
            </w:pPr>
            <w:r>
              <w:t>Internal TR</w:t>
            </w:r>
          </w:p>
          <w:p>
            <w:pPr>
              <w:pStyle w:val="24"/>
              <w:spacing w:after="0"/>
            </w:pPr>
          </w:p>
        </w:tc>
        <w:tc>
          <w:tcPr>
            <w:tcW w:w="1134" w:type="dxa"/>
            <w:tcBorders>
              <w:top w:val="single" w:color="auto" w:sz="4" w:space="0"/>
              <w:left w:val="single" w:color="auto" w:sz="4" w:space="0"/>
              <w:bottom w:val="single" w:color="auto" w:sz="4" w:space="0"/>
              <w:right w:val="single" w:color="auto" w:sz="4" w:space="0"/>
            </w:tcBorders>
          </w:tcPr>
          <w:p>
            <w:pPr>
              <w:pStyle w:val="24"/>
              <w:spacing w:after="0"/>
            </w:pPr>
            <w:r>
              <w:t>23.XXX</w:t>
            </w:r>
          </w:p>
        </w:tc>
        <w:tc>
          <w:tcPr>
            <w:tcW w:w="2409" w:type="dxa"/>
            <w:tcBorders>
              <w:top w:val="single" w:color="auto" w:sz="4" w:space="0"/>
              <w:left w:val="single" w:color="auto" w:sz="4" w:space="0"/>
              <w:bottom w:val="single" w:color="auto" w:sz="4" w:space="0"/>
              <w:right w:val="single" w:color="auto" w:sz="4" w:space="0"/>
            </w:tcBorders>
          </w:tcPr>
          <w:p>
            <w:pPr>
              <w:pStyle w:val="24"/>
              <w:spacing w:after="0"/>
            </w:pPr>
            <w:r>
              <w:rPr>
                <w:lang w:val="en-US" w:eastAsia="zh-CN"/>
              </w:rPr>
              <w:t xml:space="preserve">Study on public warning application over 5GS </w:t>
            </w:r>
          </w:p>
        </w:tc>
        <w:tc>
          <w:tcPr>
            <w:tcW w:w="993" w:type="dxa"/>
            <w:tcBorders>
              <w:top w:val="single" w:color="auto" w:sz="4" w:space="0"/>
              <w:left w:val="single" w:color="auto" w:sz="4" w:space="0"/>
              <w:bottom w:val="single" w:color="auto" w:sz="4" w:space="0"/>
              <w:right w:val="single" w:color="auto" w:sz="4" w:space="0"/>
            </w:tcBorders>
          </w:tcPr>
          <w:p>
            <w:pPr>
              <w:pStyle w:val="24"/>
              <w:spacing w:after="0"/>
            </w:pPr>
            <w:r>
              <w:rPr>
                <w:i w:val="0"/>
              </w:rPr>
              <w:t>SA#104 (June 2024)</w:t>
            </w:r>
          </w:p>
        </w:tc>
        <w:tc>
          <w:tcPr>
            <w:tcW w:w="1074" w:type="dxa"/>
            <w:tcBorders>
              <w:top w:val="single" w:color="auto" w:sz="4" w:space="0"/>
              <w:left w:val="single" w:color="auto" w:sz="4" w:space="0"/>
              <w:bottom w:val="single" w:color="auto" w:sz="4" w:space="0"/>
              <w:right w:val="single" w:color="auto" w:sz="4" w:space="0"/>
            </w:tcBorders>
          </w:tcPr>
          <w:p>
            <w:pPr>
              <w:pStyle w:val="24"/>
              <w:spacing w:after="0"/>
            </w:pPr>
            <w:r>
              <w:rPr>
                <w:i w:val="0"/>
              </w:rPr>
              <w:t>SA#105 (Sep 2024)</w:t>
            </w:r>
          </w:p>
        </w:tc>
        <w:tc>
          <w:tcPr>
            <w:tcW w:w="2186" w:type="dxa"/>
            <w:tcBorders>
              <w:top w:val="single" w:color="auto" w:sz="4" w:space="0"/>
              <w:left w:val="single" w:color="auto" w:sz="4" w:space="0"/>
              <w:bottom w:val="single" w:color="auto" w:sz="4" w:space="0"/>
              <w:right w:val="single" w:color="auto" w:sz="4" w:space="0"/>
            </w:tcBorders>
          </w:tcPr>
          <w:p>
            <w:pPr>
              <w:pStyle w:val="24"/>
              <w:spacing w:after="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6"/>
            </w:pPr>
          </w:p>
        </w:tc>
        <w:tc>
          <w:tcPr>
            <w:tcW w:w="1134" w:type="dxa"/>
          </w:tcPr>
          <w:p>
            <w:pPr>
              <w:pStyle w:val="26"/>
            </w:pPr>
          </w:p>
        </w:tc>
        <w:tc>
          <w:tcPr>
            <w:tcW w:w="2409" w:type="dxa"/>
          </w:tcPr>
          <w:p>
            <w:pPr>
              <w:pStyle w:val="26"/>
            </w:pPr>
          </w:p>
        </w:tc>
        <w:tc>
          <w:tcPr>
            <w:tcW w:w="993" w:type="dxa"/>
          </w:tcPr>
          <w:p>
            <w:pPr>
              <w:pStyle w:val="26"/>
            </w:pPr>
          </w:p>
        </w:tc>
        <w:tc>
          <w:tcPr>
            <w:tcW w:w="1074" w:type="dxa"/>
          </w:tcPr>
          <w:p>
            <w:pPr>
              <w:pStyle w:val="26"/>
            </w:pPr>
          </w:p>
        </w:tc>
        <w:tc>
          <w:tcPr>
            <w:tcW w:w="2186" w:type="dxa"/>
          </w:tcPr>
          <w:p>
            <w:pPr>
              <w:pStyle w:val="26"/>
            </w:pPr>
          </w:p>
        </w:tc>
      </w:tr>
    </w:tbl>
    <w:p>
      <w:pPr>
        <w:pStyle w:val="29"/>
      </w:pPr>
    </w:p>
    <w:p/>
    <w:tbl>
      <w:tblPr>
        <w:tblStyle w:val="15"/>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7"/>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7"/>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7"/>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7"/>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7"/>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4"/>
              <w:spacing w:after="0"/>
            </w:pPr>
            <w:r>
              <w:t>N/A</w:t>
            </w:r>
          </w:p>
        </w:tc>
        <w:tc>
          <w:tcPr>
            <w:tcW w:w="4344" w:type="dxa"/>
            <w:tcBorders>
              <w:top w:val="single" w:color="auto" w:sz="4" w:space="0"/>
              <w:left w:val="single" w:color="auto" w:sz="4" w:space="0"/>
              <w:bottom w:val="single" w:color="auto" w:sz="4" w:space="0"/>
              <w:right w:val="single" w:color="auto" w:sz="4" w:space="0"/>
            </w:tcBorders>
          </w:tcPr>
          <w:p>
            <w:pPr>
              <w:pStyle w:val="24"/>
              <w:spacing w:after="0"/>
            </w:pPr>
          </w:p>
        </w:tc>
        <w:tc>
          <w:tcPr>
            <w:tcW w:w="1417" w:type="dxa"/>
            <w:tcBorders>
              <w:top w:val="single" w:color="auto" w:sz="4" w:space="0"/>
              <w:left w:val="single" w:color="auto" w:sz="4" w:space="0"/>
              <w:bottom w:val="single" w:color="auto" w:sz="4" w:space="0"/>
              <w:right w:val="single" w:color="auto" w:sz="4" w:space="0"/>
            </w:tcBorders>
          </w:tcPr>
          <w:p>
            <w:pPr>
              <w:pStyle w:val="24"/>
              <w:spacing w:after="0"/>
            </w:pPr>
          </w:p>
        </w:tc>
        <w:tc>
          <w:tcPr>
            <w:tcW w:w="2101" w:type="dxa"/>
            <w:tcBorders>
              <w:top w:val="single" w:color="auto" w:sz="4" w:space="0"/>
              <w:left w:val="single" w:color="auto" w:sz="4" w:space="0"/>
              <w:bottom w:val="single" w:color="auto" w:sz="4" w:space="0"/>
              <w:right w:val="single" w:color="auto" w:sz="4" w:space="0"/>
            </w:tcBorders>
          </w:tcPr>
          <w:p>
            <w:pPr>
              <w:pStyle w:val="24"/>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6"/>
            </w:pPr>
          </w:p>
        </w:tc>
        <w:tc>
          <w:tcPr>
            <w:tcW w:w="4344" w:type="dxa"/>
            <w:tcBorders>
              <w:top w:val="single" w:color="auto" w:sz="4" w:space="0"/>
              <w:left w:val="single" w:color="auto" w:sz="4" w:space="0"/>
              <w:bottom w:val="single" w:color="auto" w:sz="4" w:space="0"/>
              <w:right w:val="single" w:color="auto" w:sz="4" w:space="0"/>
            </w:tcBorders>
          </w:tcPr>
          <w:p>
            <w:pPr>
              <w:pStyle w:val="26"/>
            </w:pPr>
          </w:p>
        </w:tc>
        <w:tc>
          <w:tcPr>
            <w:tcW w:w="1417" w:type="dxa"/>
            <w:tcBorders>
              <w:top w:val="single" w:color="auto" w:sz="4" w:space="0"/>
              <w:left w:val="single" w:color="auto" w:sz="4" w:space="0"/>
              <w:bottom w:val="single" w:color="auto" w:sz="4" w:space="0"/>
              <w:right w:val="single" w:color="auto" w:sz="4" w:space="0"/>
            </w:tcBorders>
          </w:tcPr>
          <w:p>
            <w:pPr>
              <w:pStyle w:val="26"/>
            </w:pPr>
          </w:p>
        </w:tc>
        <w:tc>
          <w:tcPr>
            <w:tcW w:w="2101" w:type="dxa"/>
            <w:tcBorders>
              <w:top w:val="single" w:color="auto" w:sz="4" w:space="0"/>
              <w:left w:val="single" w:color="auto" w:sz="4" w:space="0"/>
              <w:bottom w:val="single" w:color="auto" w:sz="4" w:space="0"/>
              <w:right w:val="single" w:color="auto" w:sz="4" w:space="0"/>
            </w:tcBorders>
          </w:tcPr>
          <w:p>
            <w:pPr>
              <w:pStyle w:val="26"/>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pStyle w:val="24"/>
      </w:pPr>
      <w:r>
        <w:rPr>
          <w:i w:val="0"/>
          <w:lang w:val="en-US" w:eastAsia="zh-CN"/>
        </w:rPr>
        <w:t xml:space="preserve">Shuang Li, </w:t>
      </w:r>
      <w:r>
        <w:rPr>
          <w:i w:val="0"/>
          <w:lang w:val="en-US"/>
        </w:rPr>
        <w:t>China Broadnet, lishuang@10099.com.cn</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pStyle w:val="24"/>
        <w:ind w:firstLine="200" w:firstLineChars="100"/>
      </w:pPr>
      <w:r>
        <w:t>SA6</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pStyle w:val="24"/>
      </w:pPr>
      <w:r>
        <w:rPr>
          <w:i w:val="0"/>
        </w:rPr>
        <w:t>SA1 on service aspects, SA2 on aspects related to 3GPP system, SA3 on aspects related to security and privacy</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p>
      <w:pPr>
        <w:pStyle w:val="24"/>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29" w:type="dxa"/>
            <w:shd w:val="clear" w:color="auto" w:fill="E0E0E0"/>
          </w:tcPr>
          <w:p>
            <w:pPr>
              <w:pStyle w:val="27"/>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6"/>
              <w:rPr>
                <w:lang w:eastAsia="zh-CN"/>
              </w:rPr>
            </w:pPr>
            <w:r>
              <w:rPr>
                <w:lang w:val="en-US" w:eastAsia="zh-CN"/>
              </w:rPr>
              <w:t>China Broadnet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6"/>
              <w:rPr>
                <w:lang w:eastAsia="zh-CN"/>
              </w:rPr>
            </w:pPr>
            <w:r>
              <w:rPr>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6"/>
              <w:rPr>
                <w:lang w:val="en-US"/>
              </w:rPr>
            </w:pPr>
            <w:r>
              <w:rPr>
                <w:lang w:val="en-US"/>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6"/>
              <w:rPr>
                <w:rFonts w:hint="default" w:eastAsiaTheme="minorEastAsia"/>
                <w:lang w:val="en-US" w:eastAsia="zh-CN"/>
              </w:rPr>
            </w:pPr>
            <w:bookmarkStart w:id="7" w:name="OLE_LINK6"/>
            <w:r>
              <w:rPr>
                <w:rFonts w:hint="eastAsia"/>
                <w:lang w:val="en-US" w:eastAsia="zh-CN"/>
              </w:rPr>
              <w:t>China Unicom</w:t>
            </w:r>
            <w:bookmarkEnd w:id="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6"/>
            </w:pPr>
            <w:r>
              <w:rPr>
                <w:rFonts w:hint="eastAsia"/>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6"/>
            </w:pPr>
            <w:r>
              <w:rPr>
                <w:rFonts w:hint="eastAsia"/>
                <w:lang w:val="en-US" w:eastAsia="zh-CN"/>
              </w:rPr>
              <w:t>CALTTA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6"/>
            </w:pPr>
            <w:r>
              <w:rPr>
                <w:rFonts w:hint="eastAsia"/>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6"/>
              <w:rPr>
                <w:rFonts w:hint="eastAsia"/>
                <w:lang w:val="en-US" w:eastAsia="zh-CN"/>
              </w:rPr>
            </w:pPr>
            <w:r>
              <w:rPr>
                <w:rFonts w:hint="eastAsia"/>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6"/>
              <w:rPr>
                <w:rFonts w:hint="eastAsia"/>
                <w:lang w:val="en-US" w:eastAsia="zh-CN"/>
              </w:rPr>
            </w:pPr>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AyNWZhMTAzZTIyM2E0MjhjOTdjNDExMzIzMjI1NjkifQ=="/>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4DE3"/>
    <w:rsid w:val="00094F23"/>
    <w:rsid w:val="000967F4"/>
    <w:rsid w:val="000A6432"/>
    <w:rsid w:val="000C4D7F"/>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0FB5"/>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280F"/>
    <w:rsid w:val="00477EBC"/>
    <w:rsid w:val="00482246"/>
    <w:rsid w:val="00484421"/>
    <w:rsid w:val="00491391"/>
    <w:rsid w:val="004A01BD"/>
    <w:rsid w:val="004A0A73"/>
    <w:rsid w:val="004A180A"/>
    <w:rsid w:val="004A661C"/>
    <w:rsid w:val="004C4C9B"/>
    <w:rsid w:val="004C5D6C"/>
    <w:rsid w:val="004D2FA0"/>
    <w:rsid w:val="004D4AF0"/>
    <w:rsid w:val="004E1010"/>
    <w:rsid w:val="004F4172"/>
    <w:rsid w:val="0050202A"/>
    <w:rsid w:val="00507903"/>
    <w:rsid w:val="00517947"/>
    <w:rsid w:val="0052032E"/>
    <w:rsid w:val="00521896"/>
    <w:rsid w:val="00522A80"/>
    <w:rsid w:val="00535A39"/>
    <w:rsid w:val="00542C77"/>
    <w:rsid w:val="00544D8F"/>
    <w:rsid w:val="00553BDE"/>
    <w:rsid w:val="00556F13"/>
    <w:rsid w:val="00562495"/>
    <w:rsid w:val="00572B78"/>
    <w:rsid w:val="0057401B"/>
    <w:rsid w:val="00577727"/>
    <w:rsid w:val="005777AF"/>
    <w:rsid w:val="00586562"/>
    <w:rsid w:val="00590B24"/>
    <w:rsid w:val="00593DC4"/>
    <w:rsid w:val="0059529B"/>
    <w:rsid w:val="005954DD"/>
    <w:rsid w:val="005A3249"/>
    <w:rsid w:val="005A6ABC"/>
    <w:rsid w:val="005B1577"/>
    <w:rsid w:val="005B2109"/>
    <w:rsid w:val="005B2F87"/>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1560"/>
    <w:rsid w:val="00710142"/>
    <w:rsid w:val="00712E81"/>
    <w:rsid w:val="00715590"/>
    <w:rsid w:val="00723919"/>
    <w:rsid w:val="007261D3"/>
    <w:rsid w:val="00733E86"/>
    <w:rsid w:val="0074596C"/>
    <w:rsid w:val="00750D12"/>
    <w:rsid w:val="0075425D"/>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0804"/>
    <w:rsid w:val="007C767B"/>
    <w:rsid w:val="007D3C7C"/>
    <w:rsid w:val="007D687A"/>
    <w:rsid w:val="007E1BA0"/>
    <w:rsid w:val="007F1DEC"/>
    <w:rsid w:val="007F2297"/>
    <w:rsid w:val="007F55EC"/>
    <w:rsid w:val="007F6574"/>
    <w:rsid w:val="00831057"/>
    <w:rsid w:val="00837EF8"/>
    <w:rsid w:val="0084119C"/>
    <w:rsid w:val="00850CD4"/>
    <w:rsid w:val="00854A49"/>
    <w:rsid w:val="008578D0"/>
    <w:rsid w:val="008624DE"/>
    <w:rsid w:val="008634EB"/>
    <w:rsid w:val="00866945"/>
    <w:rsid w:val="00876BD5"/>
    <w:rsid w:val="00891106"/>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7733D"/>
    <w:rsid w:val="00A82FCC"/>
    <w:rsid w:val="00A8479D"/>
    <w:rsid w:val="00A906A4"/>
    <w:rsid w:val="00A97953"/>
    <w:rsid w:val="00AA574E"/>
    <w:rsid w:val="00AB3ACF"/>
    <w:rsid w:val="00AD324E"/>
    <w:rsid w:val="00AD5B51"/>
    <w:rsid w:val="00AD7B78"/>
    <w:rsid w:val="00AF4118"/>
    <w:rsid w:val="00B00077"/>
    <w:rsid w:val="00B03107"/>
    <w:rsid w:val="00B10820"/>
    <w:rsid w:val="00B16E03"/>
    <w:rsid w:val="00B1749C"/>
    <w:rsid w:val="00B2622A"/>
    <w:rsid w:val="00B30214"/>
    <w:rsid w:val="00B3526C"/>
    <w:rsid w:val="00B376E0"/>
    <w:rsid w:val="00B41E34"/>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C7FE7"/>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5734F"/>
    <w:rsid w:val="00C63F06"/>
    <w:rsid w:val="00C6590B"/>
    <w:rsid w:val="00C7131F"/>
    <w:rsid w:val="00C76753"/>
    <w:rsid w:val="00C8412D"/>
    <w:rsid w:val="00C8586A"/>
    <w:rsid w:val="00CA2B4F"/>
    <w:rsid w:val="00CA5DB0"/>
    <w:rsid w:val="00CC084E"/>
    <w:rsid w:val="00CC58ED"/>
    <w:rsid w:val="00D0135E"/>
    <w:rsid w:val="00D145EC"/>
    <w:rsid w:val="00D30E11"/>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C63B3"/>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2E2450A"/>
    <w:rsid w:val="0A4A493C"/>
    <w:rsid w:val="11D007C9"/>
    <w:rsid w:val="12F26E2C"/>
    <w:rsid w:val="1D3E0E44"/>
    <w:rsid w:val="1F6E1497"/>
    <w:rsid w:val="2065402E"/>
    <w:rsid w:val="24C80F91"/>
    <w:rsid w:val="2BC60FC8"/>
    <w:rsid w:val="339E42D6"/>
    <w:rsid w:val="35530813"/>
    <w:rsid w:val="3AFB124B"/>
    <w:rsid w:val="4DA43192"/>
    <w:rsid w:val="51F7178E"/>
    <w:rsid w:val="5953730C"/>
    <w:rsid w:val="5AFF241E"/>
    <w:rsid w:val="736D0E92"/>
    <w:rsid w:val="77FFD2AB"/>
    <w:rsid w:val="7C4830EB"/>
    <w:rsid w:val="FEAE2A9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5"/>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Balloon Text"/>
    <w:basedOn w:val="1"/>
    <w:link w:val="33"/>
    <w:semiHidden/>
    <w:unhideWhenUsed/>
    <w:qFormat/>
    <w:uiPriority w:val="0"/>
    <w:rPr>
      <w:sz w:val="18"/>
      <w:szCs w:val="18"/>
    </w:rPr>
  </w:style>
  <w:style w:type="paragraph" w:styleId="11">
    <w:name w:val="footer"/>
    <w:basedOn w:val="1"/>
    <w:qFormat/>
    <w:uiPriority w:val="0"/>
    <w:pPr>
      <w:tabs>
        <w:tab w:val="center" w:pos="4153"/>
        <w:tab w:val="right" w:pos="8306"/>
      </w:tabs>
    </w:pPr>
  </w:style>
  <w:style w:type="paragraph" w:styleId="12">
    <w:name w:val="header"/>
    <w:basedOn w:val="1"/>
    <w:qFormat/>
    <w:uiPriority w:val="0"/>
    <w:pPr>
      <w:tabs>
        <w:tab w:val="center" w:pos="4153"/>
        <w:tab w:val="right" w:pos="8306"/>
      </w:tabs>
    </w:pPr>
  </w:style>
  <w:style w:type="paragraph" w:styleId="13">
    <w:name w:val="toc 9"/>
    <w:basedOn w:val="9"/>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4">
    <w:name w:val="index 1"/>
    <w:basedOn w:val="1"/>
    <w:semiHidden/>
    <w:qFormat/>
    <w:uiPriority w:val="0"/>
    <w:pPr>
      <w:keepLines/>
    </w:pPr>
  </w:style>
  <w:style w:type="character" w:styleId="17">
    <w:name w:val="page number"/>
    <w:basedOn w:val="16"/>
    <w:qFormat/>
    <w:uiPriority w:val="0"/>
  </w:style>
  <w:style w:type="paragraph" w:customStyle="1" w:styleId="18">
    <w:name w:val="B1"/>
    <w:basedOn w:val="1"/>
    <w:link w:val="32"/>
    <w:qFormat/>
    <w:uiPriority w:val="0"/>
    <w:pPr>
      <w:ind w:left="567" w:hanging="567"/>
      <w:jc w:val="both"/>
    </w:pPr>
    <w:rPr>
      <w:rFonts w:ascii="Arial" w:hAnsi="Arial"/>
    </w:rPr>
  </w:style>
  <w:style w:type="paragraph" w:customStyle="1" w:styleId="19">
    <w:name w:val="00 BodyText"/>
    <w:basedOn w:val="1"/>
    <w:qFormat/>
    <w:uiPriority w:val="0"/>
    <w:pPr>
      <w:spacing w:after="220"/>
    </w:pPr>
    <w:rPr>
      <w:rFonts w:ascii="Arial" w:hAnsi="Arial"/>
      <w:sz w:val="22"/>
      <w:lang w:val="en-US"/>
    </w:rPr>
  </w:style>
  <w:style w:type="paragraph" w:customStyle="1" w:styleId="20">
    <w:name w:val="??"/>
    <w:qFormat/>
    <w:uiPriority w:val="0"/>
    <w:pPr>
      <w:widowControl w:val="0"/>
    </w:pPr>
    <w:rPr>
      <w:rFonts w:ascii="Times New Roman" w:hAnsi="Times New Roman" w:cs="Times New Roman" w:eastAsiaTheme="minorEastAsia"/>
      <w:lang w:val="en-US" w:eastAsia="en-US" w:bidi="ar-SA"/>
    </w:rPr>
  </w:style>
  <w:style w:type="paragraph" w:customStyle="1" w:styleId="21">
    <w:name w:val="??? 2"/>
    <w:basedOn w:val="20"/>
    <w:next w:val="20"/>
    <w:qFormat/>
    <w:uiPriority w:val="0"/>
    <w:pPr>
      <w:keepNext/>
    </w:pPr>
    <w:rPr>
      <w:rFonts w:ascii="Arial" w:hAnsi="Arial"/>
      <w:b/>
      <w:sz w:val="24"/>
    </w:rPr>
  </w:style>
  <w:style w:type="paragraph" w:customStyle="1" w:styleId="22">
    <w:name w:val="CR Cover Page"/>
    <w:qFormat/>
    <w:uiPriority w:val="0"/>
    <w:pPr>
      <w:spacing w:after="120"/>
    </w:pPr>
    <w:rPr>
      <w:rFonts w:ascii="Arial" w:hAnsi="Arial" w:cs="Times New Roman" w:eastAsiaTheme="minorEastAsia"/>
      <w:lang w:val="en-GB" w:eastAsia="en-US" w:bidi="ar-SA"/>
    </w:rPr>
  </w:style>
  <w:style w:type="paragraph" w:styleId="23">
    <w:name w:val="List Paragraph"/>
    <w:basedOn w:val="1"/>
    <w:qFormat/>
    <w:uiPriority w:val="34"/>
    <w:pPr>
      <w:spacing w:before="100" w:beforeAutospacing="1" w:after="100" w:afterAutospacing="1"/>
    </w:pPr>
    <w:rPr>
      <w:sz w:val="24"/>
      <w:szCs w:val="24"/>
      <w:lang w:val="en-US"/>
    </w:rPr>
  </w:style>
  <w:style w:type="paragraph" w:customStyle="1" w:styleId="24">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5">
    <w:name w:val="标题 8 字符"/>
    <w:basedOn w:val="16"/>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6">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7">
    <w:name w:val="TAH"/>
    <w:basedOn w:val="28"/>
    <w:qFormat/>
    <w:uiPriority w:val="0"/>
    <w:rPr>
      <w:b/>
    </w:rPr>
  </w:style>
  <w:style w:type="paragraph" w:customStyle="1" w:styleId="28">
    <w:name w:val="TAC"/>
    <w:basedOn w:val="26"/>
    <w:qFormat/>
    <w:uiPriority w:val="0"/>
    <w:pPr>
      <w:jc w:val="center"/>
    </w:pPr>
  </w:style>
  <w:style w:type="paragraph" w:customStyle="1" w:styleId="29">
    <w:name w:val="FP"/>
    <w:basedOn w:val="1"/>
    <w:qFormat/>
    <w:uiPriority w:val="0"/>
    <w:pPr>
      <w:overflowPunct w:val="0"/>
      <w:autoSpaceDE w:val="0"/>
      <w:autoSpaceDN w:val="0"/>
      <w:adjustRightInd w:val="0"/>
      <w:textAlignment w:val="baseline"/>
    </w:pPr>
    <w:rPr>
      <w:color w:val="000000"/>
      <w:lang w:eastAsia="ja-JP"/>
    </w:rPr>
  </w:style>
  <w:style w:type="paragraph" w:customStyle="1" w:styleId="30">
    <w:name w:val="修订1"/>
    <w:hidden/>
    <w:semiHidden/>
    <w:qFormat/>
    <w:uiPriority w:val="99"/>
    <w:rPr>
      <w:rFonts w:ascii="Times New Roman" w:hAnsi="Times New Roman" w:cs="Times New Roman" w:eastAsiaTheme="minorEastAsia"/>
      <w:lang w:val="en-GB" w:eastAsia="en-US" w:bidi="ar-SA"/>
    </w:rPr>
  </w:style>
  <w:style w:type="paragraph" w:customStyle="1" w:styleId="31">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2">
    <w:name w:val="B1 Char"/>
    <w:link w:val="18"/>
    <w:qFormat/>
    <w:locked/>
    <w:uiPriority w:val="0"/>
    <w:rPr>
      <w:rFonts w:ascii="Arial" w:hAnsi="Arial"/>
      <w:lang w:eastAsia="en-US"/>
    </w:rPr>
  </w:style>
  <w:style w:type="character" w:customStyle="1" w:styleId="33">
    <w:name w:val="批注框文本 字符"/>
    <w:basedOn w:val="16"/>
    <w:link w:val="10"/>
    <w:semiHidden/>
    <w:qFormat/>
    <w:uiPriority w:val="0"/>
    <w:rPr>
      <w:sz w:val="18"/>
      <w:szCs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3</Pages>
  <Words>881</Words>
  <Characters>5024</Characters>
  <Lines>41</Lines>
  <Paragraphs>11</Paragraphs>
  <TotalTime>0</TotalTime>
  <ScaleCrop>false</ScaleCrop>
  <LinksUpToDate>false</LinksUpToDate>
  <CharactersWithSpaces>5894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2023-01-04T22:27:00Z</dcterms:created>
  <dc:creator>Alain Sultan</dc:creator>
  <cp:lastModifiedBy>文档存本地丢失不负责</cp:lastModifiedBy>
  <cp:lastPrinted>2001-04-23T17:30:00Z</cp:lastPrinted>
  <dcterms:modified xsi:type="dcterms:W3CDTF">2023-11-07T09:46:24Z</dcterms:modified>
  <dc:title>Source: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(2)wYFV5HUq1d8MiFojd+iKlzO+z3Z6j9YsQc2pcIf3q3RrLr/rO77a1KWAuJ+BIglCNzjm6ho1
UPgpF926ZMwgMEDU6S3lYLjvmzPkrwpaabVH9Eg1ELUCPTtg91Z5wpsil+56Ra6cZ/Ya5JVo
aUq87pT6cM5uUiWHaQvIpwRPPt/o+K1Q0qyr8NAFWWSu3Qo7UjplmrKzqva0oRhEHWdfWwxP
T5z55ZlYpDUQidamOs</vt:lpwstr>
  </property>
  <property fmtid="{D5CDD505-2E9C-101B-9397-08002B2CF9AE}" pid="3" name="_2015_ms_pID_7253431">
    <vt:lpwstr>+Vfup4JUTavwqWOULSRzOe50/53XbLxfkoUt/lKCeZnTMp20ysuanR
uOzdWy1EapxgAOV5JxQdkt19CLWsPvTB8hJxSh4JVmKhHZYhp82GAqRpkL6q02MsMTab+1Qh
axDqQyXbYFu3i8UZdxBY2covITis3DjXfxc1rRxwlOJOitIJP7nmB0ptl4CfAYowp+0=</vt:lpwstr>
  </property>
  <property fmtid="{D5CDD505-2E9C-101B-9397-08002B2CF9AE}" pid="4" name="KSOProductBuildVer">
    <vt:lpwstr>2052-12.1.0.15712</vt:lpwstr>
  </property>
  <property fmtid="{D5CDD505-2E9C-101B-9397-08002B2CF9AE}" pid="5" name="ICV">
    <vt:lpwstr>F39738FC1B8048DAA071A1A9CDF77AFB_13</vt:lpwstr>
  </property>
</Properties>
</file>